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2.png" ContentType="image/png"/>
  <Override PartName="/word/media/rId41.png" ContentType="image/png"/>
  <Override PartName="/word/media/rId39.png" ContentType="image/png"/>
  <Override PartName="/word/media/rId30.png" ContentType="image/png"/>
  <Override PartName="/word/media/rId29.png" ContentType="image/png"/>
  <Override PartName="/word/media/rId32.png" ContentType="image/png"/>
  <Override PartName="/word/media/rId23.png" ContentType="image/png"/>
  <Override PartName="/word/media/rId3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2016-01-20</w:t>
      </w:r>
    </w:p>
    <w:p>
      <w:pPr>
        <w:pStyle w:val="Abstract"/>
      </w:pPr>
      <w:r>
        <w:t xml:space="preserve">Abstract</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These</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1" w:name="introduction"/>
      <w:bookmarkEnd w:id="21"/>
      <w:r>
        <w:t xml:space="preserve">Introduction</w:t>
      </w:r>
    </w:p>
    <w:p>
      <w:pPr>
        <w:pStyle w:val="FirstParagraph"/>
      </w:pPr>
      <w:r>
        <w:t xml:space="preserve">An enduring dispute in Late Pleistocene and Holocene archaeology of mainland Southeast Asia is the nature of the transition from forager economies to agricultural economies. As a key milestone in complex human-environment interactions, the debate has many dimensions. At one extreme of the debate is the claim that agricultural technologies and cultures appeared in Southeast Asia as a result of influence from north Asia, via the lower Yangtze River and the Yellow River. At the other extreme is the claim is that agriculture emerged from a locally contingent trajectory of changes in human-environment relationships (cf. Hunt and Rabett, 2014).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through to the middle Holocene -- is sparsely represented in the archaeological record. We have a rich and well-documented record for the later Holocene when people were living more sedentary lifestyles, for example at Khok Phanom Di in Thailand and Man Bac in Vietnam. And we have many cave and rockshelter sites representing Pleistocene forager lifestyles, such as Tham Lod in Thailand and Xom Trai in Vietnam.</w:t>
      </w:r>
    </w:p>
    <w:p>
      <w:pPr>
        <w:pStyle w:val="BodyText"/>
      </w:pPr>
      <w:r>
        <w:t xml:space="preserve">However, during the middle Holocene (c. 6000–3500 BP),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well-documented sea level curve.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2" w:name="background"/>
      <w:bookmarkEnd w:id="22"/>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6000 BC in Xianrendong and 5000–4000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is identical to those found at the Da But sites of northern Vietnam, such as Da But, Con Co Ngua, Ban Ban Thuy, Lang Cong and Go Trung. These sites were occupied by complex hunter-gatherer populations during 5500–2000 BC (Viet 2007). Polished axes, pestles and mortars suggest cultivation, but clear evidence of food production only appears around 1500-1800 BC at sites such as Man Bac with domesticated pig remains (Sawada et al., 2011).</w:t>
      </w:r>
    </w:p>
    <w:p>
      <w:pPr>
        <w:pStyle w:val="BodyText"/>
      </w:pPr>
      <w:r>
        <w:t xml:space="preserve">While this gives a picture of continuity between complex hunter-gatherers and agriculturalists in southern China and parts of northern Vietnam, elsewhere in mainland Southeast Asia continuity is harder to see. Hang Boi cave in inland northern Vietnam has a thick shell midden that spans just 10,600-12,300 BP (Rabett et al., 2011). At sites in Thailand there is a gap between cave occupation and open site occupation. At Lang Rongrien rockshelter on peninsular Thailand, the most recent dated occupation is about 8000 BP, followed by undated and highly disturbed deposits containing burials and pottery (Anderson, 1990:20). Similarly, in northern Thailand rockshelter occupation at Tham Lod and Ban Rai becomes discontinuous at around 8000 BP (Marwick and Gagan, 2011; Shoocongdej, 2006). At Laang Spean rockshelter in Cambodia, the most recent occupation in 5000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At open air sites, the record starts at around 2000 BC (i.e. 4000 BP), for example at Khok Phanom Di, near the Bang Pakong River, southeast of Bangkok (Higham and Thosarat, 2004) and at Ban Non Wat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(Sinsakul, 1992). This makes it well-suited to assessing the effects of local environmental change on forager groups during a time of major transitions in subsistence. Sinsakul (1992) has documented a Holocene sea level curve for Thailand that starts with a steady rise in sea level until about 6000 BP, reaching a height of 4 m amsl (above mean sea level) (Figure 1). Sea levels then regressed until 4700 BP, then rising again to 2.5 m amsl at about 4000 BP. From 3700 to 2700 BP there was a regressive phase, with transgression starting again at 2700 BP to a maximum of 2 m amsl at 2500 BP. Regression continued from that time until the present sea levels were reached at 1500 BP. The evidence for these sea level changes comes from direct dating of marine shells and peat deposits at geological sites in peninsular Thailand (Sinsakul, 1992).</w:t>
      </w:r>
    </w:p>
    <w:p>
      <w:pPr>
        <w:pStyle w:val="BodyText"/>
      </w:pPr>
      <w:r>
        <w:drawing>
          <wp:inline>
            <wp:extent cx="5638800" cy="4838700"/>
            <wp:effectExtent b="0" l="0" r="0" t="0"/>
            <wp:docPr descr="" id="1" name="Picture"/>
            <a:graphic>
              <a:graphicData uri="http://schemas.openxmlformats.org/drawingml/2006/picture">
                <pic:pic>
                  <pic:nvPicPr>
                    <pic:cNvPr descr="../figures/sea_level/sea_level.png" id="0" name="Picture"/>
                    <pic:cNvPicPr>
                      <a:picLocks noChangeArrowheads="1" noChangeAspect="1"/>
                    </pic:cNvPicPr>
                  </pic:nvPicPr>
                  <pic:blipFill>
                    <a:blip r:embed="rId23"/>
                    <a:stretch>
                      <a:fillRect/>
                    </a:stretch>
                  </pic:blipFill>
                  <pic:spPr bwMode="auto">
                    <a:xfrm>
                      <a:off x="0" y="0"/>
                      <a:ext cx="5638800" cy="4838700"/>
                    </a:xfrm>
                    <a:prstGeom prst="rect">
                      <a:avLst/>
                    </a:prstGeom>
                    <a:noFill/>
                    <a:ln w="9525">
                      <a:noFill/>
                      <a:headEnd/>
                      <a:tailEnd/>
                    </a:ln>
                  </pic:spPr>
                </pic:pic>
              </a:graphicData>
            </a:graphic>
          </wp:inline>
        </w:drawing>
      </w:r>
    </w:p>
    <w:p>
      <w:pPr>
        <w:pStyle w:val="BodyText"/>
      </w:pPr>
      <w:r>
        <w:t xml:space="preserve">Figure 1: Holocene sea level curve for Thailand, redrawn from Sinsakul (1992). Data points are radiocarbon ages of geological specimens from beach and tidal locations.</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7500 BP and between 4000 and 2500 BP. Anderson proposes that the increases in marine shellfish at the site are probably related to increases in sea levels. A small number of other sites have been previously investigated in several provinces of peninsula Thailand. For example, Moh Khiew in Krabi with its 25,000 year old human remains (Auetrakulvit et al., 2012, Chitkament, 2007; Matsumara and Pookajorn, 2005; Pookajorn, 1994), Tham Khao Khi Chan in Surat Thani Province has occupation layers dating from 6060 BP to 4250 BP (Srisuchat and Srisuchat, 1992). Buang Bap, also in Surat Thani, has faunal remains including marine shellfish dating between 6000 and 5000 BP (Srisuchat and Srisuchat, 1992). Pak Om has a dense and diverse archaeological deposit, but its two dates of 9350 and 3010 BP come from the same layer, so the chronology is uncertain (Srisuchat, 1997). Khao Tau in Pang Nga is a site complex with deep stratification and abundant cultural materials dating to 4750 and 5250 BP (Srisuchat and Srisuchat, 1992), Finally, there is the Tham Sua shell midden in Krabi that is a deposit of marine shell greater than one meter deep and with a basal date of 6440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Heading2"/>
      </w:pPr>
      <w:bookmarkStart w:id="24" w:name="methods"/>
      <w:bookmarkEnd w:id="24"/>
      <w:r>
        <w:t xml:space="preserve">Methods</w:t>
      </w:r>
    </w:p>
    <w:p>
      <w:pPr>
        <w:pStyle w:val="Heading3"/>
      </w:pPr>
      <w:bookmarkStart w:id="25" w:name="excavation-methods"/>
      <w:bookmarkEnd w:id="25"/>
      <w:r>
        <w:t xml:space="preserve">Excavation methods</w:t>
      </w:r>
    </w:p>
    <w:p>
      <w:pPr>
        <w:pStyle w:val="FirstParagraph"/>
      </w:pPr>
      <w:r>
        <w:t xml:space="preserve">In June-July 2011 we excavated two areas of 2x2 m in 5 cm units to a depth of 1.6 m below the surface at Khao Toh Chong rockshelter.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 In Trench A, the southernmost trench, excavations reached a depth of 1.3 meters below the surface. In trench B, excavations were obstructed by bedrock in the northwest and southwest units. Subsequently, excavation depths in trench B extended to approximately 2.0 meters in the northeast and southeast units. Our archaeological and faunal analysis reported here is based on data from the southwest quadrant of trench A.</w:t>
      </w:r>
    </w:p>
    <w:p>
      <w:pPr>
        <w:pStyle w:val="Heading3"/>
      </w:pPr>
      <w:bookmarkStart w:id="26" w:name="geoarchaeological-methods"/>
      <w:bookmarkEnd w:id="26"/>
      <w:r>
        <w:t xml:space="preserve">Geoarchaeological methods</w:t>
      </w:r>
    </w:p>
    <w:p>
      <w:pPr>
        <w:pStyle w:val="FirstParagraph"/>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electrical conductivity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cm3 of sediment analyzed in sample pots at low and high frequency.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in the sample, 60 mL of 1 M HCl was stirred into the samples and left to sit for 24 hours while stirring every 10 hours (Millwood and Boutton, 1998). To rinse the HCl off the samples, 60 mL of deionized water was stirred into the samples for 1 minute before setting to dry at 60°C for 48 h. Two more rinse cycles occurred where 60 mL DI water was stirred into the samples for one minute before setting to dry at 60°C for 24 hours each. Isotope measurement was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loaded onto trays and scanned on a Bruker D8 Focus X-ray Diffractometer from 5° to 75° 2θ with a Cu radiation source at resolution 0.02° steps per second with 40 kV and 40 mA power output. MDI Jade 9 software was used to identify minerals.</w:t>
      </w:r>
    </w:p>
    <w:p>
      <w:pPr>
        <w:pStyle w:val="BodyText"/>
      </w:pPr>
      <w:r>
        <w:t xml:space="preserve">Samples were prepared for compositional analysis by ICP-AES as follows.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to drive the reaction. Next, deionized water and 30% H</w:t>
      </w:r>
      <w:r>
        <w:rPr>
          <w:vertAlign w:val="subscript"/>
        </w:rPr>
        <w:t xml:space="preserve">2</w:t>
      </w:r>
      <w:r>
        <w:t xml:space="preserve">O</w:t>
      </w:r>
      <w:r>
        <w:rPr>
          <w:vertAlign w:val="subscript"/>
        </w:rPr>
        <w:t xml:space="preserve">2</w:t>
      </w:r>
      <w:r>
        <w:t xml:space="preserve"> </w:t>
      </w:r>
      <w:r>
        <w:t xml:space="preserve">were added for increased oxidization and 10ml HCl was added and heated for chloride formation. The samples were diluted with deionized water and filtered before being measured and placed into Falcon tubes for ICP-AES analysis. This acid digest provides a broad spectrum of elements in a known volumetric concentration, as required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2"/>
      </w:pPr>
      <w:bookmarkStart w:id="27" w:name="results"/>
      <w:bookmarkEnd w:id="27"/>
      <w:r>
        <w:t xml:space="preserve">Results</w:t>
      </w:r>
    </w:p>
    <w:p>
      <w:pPr>
        <w:pStyle w:val="FirstParagraph"/>
      </w:pPr>
      <w:r>
        <w:t xml:space="preserve">They key findings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28">
        <w:r>
          <w:rPr>
            <w:rStyle w:val="Hyperlink"/>
          </w:rPr>
          <w:t xml:space="preserve">https://dx.doi.org/10.6084/m9.figshare.2065602.v1</w:t>
        </w:r>
      </w:hyperlink>
    </w:p>
    <w:p>
      <w:pPr>
        <w:pStyle w:val="BodyText"/>
      </w:pPr>
      <w:r>
        <w:drawing>
          <wp:inline>
            <wp:extent cx="5943600" cy="3448897"/>
            <wp:effectExtent b="0" l="0" r="0" t="0"/>
            <wp:docPr descr=""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48897"/>
                    </a:xfrm>
                    <a:prstGeom prst="rect">
                      <a:avLst/>
                    </a:prstGeom>
                    <a:noFill/>
                    <a:ln w="9525">
                      <a:noFill/>
                      <a:headEnd/>
                      <a:tailEnd/>
                    </a:ln>
                  </pic:spPr>
                </pic:pic>
              </a:graphicData>
            </a:graphic>
          </wp:inline>
        </w:drawing>
      </w:r>
    </w:p>
    <w:p>
      <w:pPr>
        <w:pStyle w:val="BodyText"/>
      </w:pPr>
      <w:r>
        <w:t xml:space="preserve">Figure 3: South section of Khao Toh Chong rockshelter trench A. The radiocarbon ages are the midpoints of the 95% calibrated age intervals. (c) indicates charcoal and (s) indicates shell as the material dated.</w:t>
      </w:r>
    </w:p>
    <w:p>
      <w:pPr>
        <w:pStyle w:val="BodyText"/>
      </w:pPr>
      <w:r>
        <w:drawing>
          <wp:inline>
            <wp:extent cx="5943600" cy="4787279"/>
            <wp:effectExtent b="0" l="0" r="0" t="0"/>
            <wp:docPr descr=""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279"/>
                    </a:xfrm>
                    <a:prstGeom prst="rect">
                      <a:avLst/>
                    </a:prstGeom>
                    <a:noFill/>
                    <a:ln w="9525">
                      <a:noFill/>
                      <a:headEnd/>
                      <a:tailEnd/>
                    </a:ln>
                  </pic:spPr>
                </pic:pic>
              </a:graphicData>
            </a:graphic>
          </wp:inline>
        </w:drawing>
      </w:r>
    </w:p>
    <w:p>
      <w:pPr>
        <w:pStyle w:val="BodyText"/>
      </w:pPr>
      <w:r>
        <w:t xml:space="preserve">Figure 2: Plan of Khao Toh Chong rockshelter. The top image shows a view looking North, with trench A in the foreground. The middle image shows the South section of trench B. The bottom image shows the South section of trench A</w:t>
      </w:r>
    </w:p>
    <w:p>
      <w:pPr>
        <w:pStyle w:val="Heading3"/>
      </w:pPr>
      <w:bookmarkStart w:id="31" w:name="chronology"/>
      <w:bookmarkEnd w:id="31"/>
      <w:r>
        <w:t xml:space="preserve">Chronology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1</w:t>
            </w:r>
          </w:p>
        </w:tc>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10.000</w:t>
            </w:r>
          </w:p>
        </w:tc>
        <w:tc>
          <w:p>
            <w:pPr>
              <w:pStyle w:val="Compact"/>
              <w:jc w:val="right"/>
            </w:pPr>
            <w:r>
              <w:t xml:space="preserve">275.00</w:t>
            </w:r>
          </w:p>
        </w:tc>
      </w:tr>
      <w:tr>
        <w:tc>
          <w:p>
            <w:pPr>
              <w:pStyle w:val="Compact"/>
              <w:jc w:val="left"/>
            </w:pPr>
            <w:r>
              <w:t xml:space="preserve">2</w:t>
            </w:r>
          </w:p>
        </w:tc>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0.000</w:t>
            </w:r>
          </w:p>
        </w:tc>
        <w:tc>
          <w:p>
            <w:pPr>
              <w:pStyle w:val="Compact"/>
              <w:jc w:val="right"/>
            </w:pPr>
            <w:r>
              <w:t xml:space="preserve">291.00</w:t>
            </w:r>
          </w:p>
        </w:tc>
      </w:tr>
      <w:tr>
        <w:tc>
          <w:p>
            <w:pPr>
              <w:pStyle w:val="Compact"/>
              <w:jc w:val="left"/>
            </w:pPr>
            <w:r>
              <w:t xml:space="preserve">21</w:t>
            </w:r>
          </w:p>
        </w:tc>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1876.000</w:t>
            </w:r>
          </w:p>
        </w:tc>
        <w:tc>
          <w:p>
            <w:pPr>
              <w:pStyle w:val="Compact"/>
              <w:jc w:val="right"/>
            </w:pPr>
            <w:r>
              <w:t xml:space="preserve">1985.00</w:t>
            </w:r>
          </w:p>
        </w:tc>
      </w:tr>
      <w:tr>
        <w:tc>
          <w:p>
            <w:pPr>
              <w:pStyle w:val="Compact"/>
              <w:jc w:val="left"/>
            </w:pPr>
            <w:r>
              <w:t xml:space="preserve">3</w:t>
            </w:r>
          </w:p>
        </w:tc>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2878.975</w:t>
            </w:r>
          </w:p>
        </w:tc>
        <w:tc>
          <w:p>
            <w:pPr>
              <w:pStyle w:val="Compact"/>
              <w:jc w:val="right"/>
            </w:pPr>
            <w:r>
              <w:t xml:space="preserve">3054.00</w:t>
            </w:r>
          </w:p>
        </w:tc>
      </w:tr>
      <w:tr>
        <w:tc>
          <w:p>
            <w:pPr>
              <w:pStyle w:val="Compact"/>
              <w:jc w:val="left"/>
            </w:pPr>
            <w:r>
              <w:t xml:space="preserve">4</w:t>
            </w:r>
          </w:p>
        </w:tc>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6313.000</w:t>
            </w:r>
          </w:p>
        </w:tc>
        <w:tc>
          <w:p>
            <w:pPr>
              <w:pStyle w:val="Compact"/>
              <w:jc w:val="right"/>
            </w:pPr>
            <w:r>
              <w:t xml:space="preserve">6424.00</w:t>
            </w:r>
          </w:p>
        </w:tc>
      </w:tr>
      <w:tr>
        <w:tc>
          <w:p>
            <w:pPr>
              <w:pStyle w:val="Compact"/>
              <w:jc w:val="left"/>
            </w:pPr>
            <w:r>
              <w:t xml:space="preserve">5</w:t>
            </w:r>
          </w:p>
        </w:tc>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7765.000</w:t>
            </w:r>
          </w:p>
        </w:tc>
        <w:tc>
          <w:p>
            <w:pPr>
              <w:pStyle w:val="Compact"/>
              <w:jc w:val="right"/>
            </w:pPr>
            <w:r>
              <w:t xml:space="preserve">7961.00</w:t>
            </w:r>
          </w:p>
        </w:tc>
      </w:tr>
      <w:tr>
        <w:tc>
          <w:p>
            <w:pPr>
              <w:pStyle w:val="Compact"/>
              <w:jc w:val="left"/>
            </w:pPr>
            <w:r>
              <w:t xml:space="preserve">6</w:t>
            </w:r>
          </w:p>
        </w:tc>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13558.000</w:t>
            </w:r>
          </w:p>
        </w:tc>
        <w:tc>
          <w:p>
            <w:pPr>
              <w:pStyle w:val="Compact"/>
              <w:jc w:val="right"/>
            </w:pPr>
            <w:r>
              <w:t xml:space="preserve">13732.00</w:t>
            </w:r>
          </w:p>
        </w:tc>
      </w:tr>
      <w:tr>
        <w:tc>
          <w:p>
            <w:pPr>
              <w:pStyle w:val="Compact"/>
              <w:jc w:val="left"/>
            </w:pPr>
            <w:r>
              <w:t xml:space="preserve">7</w:t>
            </w:r>
          </w:p>
        </w:tc>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13745.975</w:t>
            </w:r>
          </w:p>
        </w:tc>
        <w:tc>
          <w:p>
            <w:pPr>
              <w:pStyle w:val="Compact"/>
              <w:jc w:val="right"/>
            </w:pPr>
            <w:r>
              <w:t xml:space="preserve">13980.00</w:t>
            </w:r>
          </w:p>
        </w:tc>
      </w:tr>
      <w:tr>
        <w:tc>
          <w:p>
            <w:pPr>
              <w:pStyle w:val="Compact"/>
              <w:jc w:val="left"/>
            </w:pPr>
            <w:r>
              <w:t xml:space="preserve">8</w:t>
            </w:r>
          </w:p>
        </w:tc>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15410.975</w:t>
            </w:r>
          </w:p>
        </w:tc>
        <w:tc>
          <w:p>
            <w:pPr>
              <w:pStyle w:val="Compact"/>
              <w:jc w:val="right"/>
            </w:pPr>
            <w:r>
              <w:t xml:space="preserve">15736.02</w:t>
            </w:r>
          </w:p>
        </w:tc>
      </w:tr>
      <w:tr>
        <w:tc>
          <w:p>
            <w:pPr>
              <w:pStyle w:val="Compact"/>
              <w:jc w:val="left"/>
            </w:pPr>
            <w:r>
              <w:t xml:space="preserve">9</w:t>
            </w:r>
          </w:p>
        </w:tc>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13048.975</w:t>
            </w:r>
          </w:p>
        </w:tc>
        <w:tc>
          <w:p>
            <w:pPr>
              <w:pStyle w:val="Compact"/>
              <w:jc w:val="right"/>
            </w:pPr>
            <w:r>
              <w:t xml:space="preserve">13168.00</w:t>
            </w:r>
          </w:p>
        </w:tc>
      </w:tr>
    </w:tbl>
    <w:p>
      <w:pPr>
        <w:pStyle w:val="BodyText"/>
      </w:pPr>
      <w:r>
        <w:t xml:space="preserve">Table 1: Summary of radiocarbon dates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plot_of_calibrated_dates-1.png" id="0" name="Picture"/>
                    <pic:cNvPicPr>
                      <a:picLocks noChangeArrowheads="1" noChangeAspect="1"/>
                    </pic:cNvPicPr>
                  </pic:nvPicPr>
                  <pic:blipFill>
                    <a:blip r:embed="rId32"/>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4: Depth-age plot of calibrated radiocarbon dates from Khao Toh Chong</w:t>
      </w:r>
    </w:p>
    <w:p>
      <w:pPr>
        <w:pStyle w:val="BodyText"/>
      </w:pPr>
      <w:r>
        <w:t xml:space="preserve">Charcoal and shell samples were dated using AMS methods by Direct AMS. Radiocarbon ages were calibrated to 95% ranges using Bchron 4.1.1 with the IntCal13 curve (Haslett and Parnell, 2008; Parnell et al., 2008; Reimer et al. 2011). Five charcoal samples and five shell samples returned radiocarbon age determinations. The shell's ages are offset from the charcoal ages by an average of 3012 years, indicating a substantial reservoir effect. Considering only the charcoal dates, the excavated deposit spans from before 13,500 cal. BP through to about 150 cal. BP.</w:t>
      </w:r>
    </w:p>
    <w:p>
      <w:pPr>
        <w:pStyle w:val="BodyText"/>
      </w:pPr>
      <w:r>
        <w:t xml:space="preserve">The depth-age relationship for the dated samples is strongly linear, suggesting a constant rate of sediment accumulation.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simple linear regression model to estimate the approximate ages of undated excavation units. The regression equation is age = 11,088 * depth -666. Using this equation, we estimate the date of the lowest excavation level to be approximately 17,075 cal BP.</w:t>
      </w:r>
    </w:p>
    <w:p>
      <w:pPr>
        <w:pStyle w:val="Heading3"/>
      </w:pPr>
      <w:bookmarkStart w:id="33" w:name="geoarchaeology"/>
      <w:bookmarkEnd w:id="33"/>
      <w:r>
        <w:t xml:space="preserve">Geoarchaeology</w:t>
      </w:r>
    </w:p>
    <w:p>
      <w:pPr>
        <w:pStyle w:val="FirstParagraph"/>
      </w:pPr>
      <w:r>
        <w:drawing>
          <wp:inline>
            <wp:extent cx="4610100" cy="3695700"/>
            <wp:effectExtent b="0" l="0" r="0" t="0"/>
            <wp:docPr descr="" id="1" name="Picture"/>
            <a:graphic>
              <a:graphicData uri="http://schemas.openxmlformats.org/drawingml/2006/picture">
                <pic:pic>
                  <pic:nvPicPr>
                    <pic:cNvPr descr="../figures/sediments_strat_plot-1.png" id="0" name="Picture"/>
                    <pic:cNvPicPr>
                      <a:picLocks noChangeArrowheads="1" noChangeAspect="1"/>
                    </pic:cNvPicPr>
                  </pic:nvPicPr>
                  <pic:blipFill>
                    <a:blip r:embed="rId34"/>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5: Summary of bulk sediment analysis of samples from Khao Toh Chong</w:t>
      </w:r>
    </w:p>
    <w:p>
      <w:pPr>
        <w:pStyle w:val="BodyText"/>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suggest minor variations in contributions from alluvial, fluvial and colluvial inputs (including limestone eroding from the karst tower). Overall the picture is of relatively constant and uninterrupted deposition.</w:t>
      </w:r>
    </w:p>
    <w:p>
      <w:pPr>
        <w:pStyle w:val="Heading4"/>
      </w:pPr>
      <w:bookmarkStart w:id="35" w:name="chemical-analyses-and-magnetic-susceptibility"/>
      <w:bookmarkEnd w:id="35"/>
      <w:r>
        <w:t xml:space="preserve">Chemical analyses and magnetic susceptibility</w:t>
      </w:r>
    </w:p>
    <w:p>
      <w:pPr>
        <w:pStyle w:val="FirstParagraph"/>
      </w:pPr>
      <w:r>
        <w:t xml:space="preserve">The results of the basic chemical, magnetic susceptibility and particle size analyses are depicted in Figure 5.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Low frequency magnetic susceptibility peaks at 308 in context A-5 (0.40 m below surface), indicating an enrichment of magnetic minerals in the deposit. This context also has the highest proportion of carbonates (12%), which would reduce magnetic susceptibility, so the change in A-5 is not a simple dilution of magnetic minerals by diagmatic minerals. Frequency dependency varies little, suggesting little change in the size of magnetic particles.</w:t>
      </w:r>
    </w:p>
    <w:p>
      <w:pPr>
        <w:pStyle w:val="Heading4"/>
      </w:pPr>
      <w:bookmarkStart w:id="36" w:name="carbon-isotope-analysis"/>
      <w:bookmarkEnd w:id="36"/>
      <w:r>
        <w:t xml:space="preserve">Carbon isotope analysis</w:t>
      </w:r>
    </w:p>
    <w:p>
      <w:pPr>
        <w:pStyle w:val="FirstParagraph"/>
      </w:pPr>
      <w:r>
        <w:t xml:space="preserve">The δ13C values range between -28.75 and -26.2, with values becoming increasingly negative in more recent times (Figure 5). This trend in δ13C values over time may be explained by isotopic fractionation and microbial activity (Lerch et al., 2011; Schweizer et al., 1999; Tieszen, 1991; Wynn, 2007), rather than major vegetation change throughout this period. This indicates an overall dominance of C3 plants, suggestive of forested-grassland vegetation, including evergreen trees and shrubs, surrounding the site (DeNiro, 1987; Yoneyama et al., 2010).</w:t>
      </w:r>
    </w:p>
    <w:p>
      <w:pPr>
        <w:pStyle w:val="Heading4"/>
      </w:pPr>
      <w:bookmarkStart w:id="37" w:name="x-ray-diffraction"/>
      <w:bookmarkEnd w:id="37"/>
      <w:r>
        <w:t xml:space="preserve">X-ray Diffraction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BodyText"/>
      </w:pPr>
      <w:r>
        <w:t xml:space="preserve">Table 2: Summary of X-ray diffraction data from Khao Toh Chong</w:t>
      </w:r>
    </w:p>
    <w:p>
      <w:pPr>
        <w:pStyle w:val="BodyText"/>
      </w:pPr>
      <w:r>
        <w:t xml:space="preserve">The XRD analysis showed quartz and calcite present in all samples.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Heading4"/>
      </w:pPr>
      <w:bookmarkStart w:id="38" w:name="inductively-coupled-plasma-atomic-emission-spectrometry"/>
      <w:bookmarkEnd w:id="38"/>
      <w:r>
        <w:t xml:space="preserve">Inductively coupled plasma-atomic emission spectrometry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KTC-B-1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KTC-A-2-DH</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KTC-A-3-DH</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KTC-A-4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KTC-A-5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KTC-A-6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KTC-A-7-up</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KTC-A-8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KTC-A-7lo</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BodyText"/>
      </w:pPr>
      <w:r>
        <w:t xml:space="preserve">Table 3: Elemental concentration by ICP-AES, all measurements are in ppm</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Ca</w:t>
            </w:r>
          </w:p>
        </w:tc>
        <w:tc>
          <w:p>
            <w:pPr>
              <w:pStyle w:val="Compact"/>
              <w:jc w:val="right"/>
            </w:pPr>
            <w:r>
              <w:t xml:space="preserve">1.00</w:t>
            </w:r>
          </w:p>
        </w:tc>
        <w:tc>
          <w:p>
            <w:pPr>
              <w:pStyle w:val="Compact"/>
              <w:jc w:val="right"/>
            </w:pPr>
            <w:r>
              <w:t xml:space="preserve">0.92</w:t>
            </w:r>
          </w:p>
        </w:tc>
        <w:tc>
          <w:p>
            <w:pPr>
              <w:pStyle w:val="Compact"/>
              <w:jc w:val="right"/>
            </w:pPr>
            <w:r>
              <w:t xml:space="preserve">0.89</w:t>
            </w:r>
          </w:p>
        </w:tc>
        <w:tc>
          <w:p>
            <w:pPr>
              <w:pStyle w:val="Compact"/>
              <w:jc w:val="right"/>
            </w:pPr>
            <w:r>
              <w:t xml:space="preserve">0.86</w:t>
            </w:r>
          </w:p>
        </w:tc>
        <w:tc>
          <w:p>
            <w:pPr>
              <w:pStyle w:val="Compact"/>
              <w:jc w:val="right"/>
            </w:pPr>
            <w:r>
              <w:t xml:space="preserve">0.95</w:t>
            </w:r>
          </w:p>
        </w:tc>
        <w:tc>
          <w:p>
            <w:pPr>
              <w:pStyle w:val="Compact"/>
              <w:jc w:val="right"/>
            </w:pPr>
            <w:r>
              <w:t xml:space="preserve">0.20</w:t>
            </w:r>
          </w:p>
        </w:tc>
        <w:tc>
          <w:p>
            <w:pPr>
              <w:pStyle w:val="Compact"/>
              <w:jc w:val="right"/>
            </w:pPr>
            <w:r>
              <w:t xml:space="preserve">0.89</w:t>
            </w:r>
          </w:p>
        </w:tc>
        <w:tc>
          <w:p>
            <w:pPr>
              <w:pStyle w:val="Compact"/>
              <w:jc w:val="right"/>
            </w:pPr>
            <w:r>
              <w:t xml:space="preserve">0.71</w:t>
            </w:r>
          </w:p>
        </w:tc>
        <w:tc>
          <w:p>
            <w:pPr>
              <w:pStyle w:val="Compact"/>
              <w:jc w:val="right"/>
            </w:pPr>
            <w:r>
              <w:t xml:space="preserve">0.95</w:t>
            </w:r>
          </w:p>
        </w:tc>
      </w:tr>
      <w:tr>
        <w:tc>
          <w:p>
            <w:pPr>
              <w:pStyle w:val="Compact"/>
              <w:jc w:val="left"/>
            </w:pPr>
            <w:r>
              <w:t xml:space="preserve">Fe</w:t>
            </w:r>
          </w:p>
        </w:tc>
        <w:tc>
          <w:p>
            <w:pPr>
              <w:pStyle w:val="Compact"/>
              <w:jc w:val="right"/>
            </w:pPr>
            <w:r>
              <w:t xml:space="preserve">0.92</w:t>
            </w:r>
          </w:p>
        </w:tc>
        <w:tc>
          <w:p>
            <w:pPr>
              <w:pStyle w:val="Compact"/>
              <w:jc w:val="right"/>
            </w:pPr>
            <w:r>
              <w:t xml:space="preserve">1.00</w:t>
            </w:r>
          </w:p>
        </w:tc>
        <w:tc>
          <w:p>
            <w:pPr>
              <w:pStyle w:val="Compact"/>
              <w:jc w:val="right"/>
            </w:pPr>
            <w:r>
              <w:t xml:space="preserve">0.86</w:t>
            </w:r>
          </w:p>
        </w:tc>
        <w:tc>
          <w:p>
            <w:pPr>
              <w:pStyle w:val="Compact"/>
              <w:jc w:val="right"/>
            </w:pPr>
            <w:r>
              <w:t xml:space="preserve">0.76</w:t>
            </w:r>
          </w:p>
        </w:tc>
        <w:tc>
          <w:p>
            <w:pPr>
              <w:pStyle w:val="Compact"/>
              <w:jc w:val="right"/>
            </w:pPr>
            <w:r>
              <w:t xml:space="preserve">0.94</w:t>
            </w:r>
          </w:p>
        </w:tc>
        <w:tc>
          <w:p>
            <w:pPr>
              <w:pStyle w:val="Compact"/>
              <w:jc w:val="right"/>
            </w:pPr>
            <w:r>
              <w:t xml:space="preserve">-0.09</w:t>
            </w:r>
          </w:p>
        </w:tc>
        <w:tc>
          <w:p>
            <w:pPr>
              <w:pStyle w:val="Compact"/>
              <w:jc w:val="right"/>
            </w:pPr>
            <w:r>
              <w:t xml:space="preserve">0.97</w:t>
            </w:r>
          </w:p>
        </w:tc>
        <w:tc>
          <w:p>
            <w:pPr>
              <w:pStyle w:val="Compact"/>
              <w:jc w:val="right"/>
            </w:pPr>
            <w:r>
              <w:t xml:space="preserve">0.82</w:t>
            </w:r>
          </w:p>
        </w:tc>
        <w:tc>
          <w:p>
            <w:pPr>
              <w:pStyle w:val="Compact"/>
              <w:jc w:val="right"/>
            </w:pPr>
            <w:r>
              <w:t xml:space="preserve">0.91</w:t>
            </w:r>
          </w:p>
        </w:tc>
      </w:tr>
      <w:tr>
        <w:tc>
          <w:p>
            <w:pPr>
              <w:pStyle w:val="Compact"/>
              <w:jc w:val="left"/>
            </w:pPr>
            <w:r>
              <w:t xml:space="preserve">K</w:t>
            </w:r>
          </w:p>
        </w:tc>
        <w:tc>
          <w:p>
            <w:pPr>
              <w:pStyle w:val="Compact"/>
              <w:jc w:val="right"/>
            </w:pPr>
            <w:r>
              <w:t xml:space="preserve">0.89</w:t>
            </w:r>
          </w:p>
        </w:tc>
        <w:tc>
          <w:p>
            <w:pPr>
              <w:pStyle w:val="Compact"/>
              <w:jc w:val="right"/>
            </w:pPr>
            <w:r>
              <w:t xml:space="preserve">0.86</w:t>
            </w:r>
          </w:p>
        </w:tc>
        <w:tc>
          <w:p>
            <w:pPr>
              <w:pStyle w:val="Compact"/>
              <w:jc w:val="right"/>
            </w:pPr>
            <w:r>
              <w:t xml:space="preserve">1.00</w:t>
            </w:r>
          </w:p>
        </w:tc>
        <w:tc>
          <w:p>
            <w:pPr>
              <w:pStyle w:val="Compact"/>
              <w:jc w:val="right"/>
            </w:pPr>
            <w:r>
              <w:t xml:space="preserve">0.82</w:t>
            </w:r>
          </w:p>
        </w:tc>
        <w:tc>
          <w:p>
            <w:pPr>
              <w:pStyle w:val="Compact"/>
              <w:jc w:val="right"/>
            </w:pPr>
            <w:r>
              <w:t xml:space="preserve">0.95</w:t>
            </w:r>
          </w:p>
        </w:tc>
        <w:tc>
          <w:p>
            <w:pPr>
              <w:pStyle w:val="Compact"/>
              <w:jc w:val="right"/>
            </w:pPr>
            <w:r>
              <w:t xml:space="preserve">0.35</w:t>
            </w:r>
          </w:p>
        </w:tc>
        <w:tc>
          <w:p>
            <w:pPr>
              <w:pStyle w:val="Compact"/>
              <w:jc w:val="right"/>
            </w:pPr>
            <w:r>
              <w:t xml:space="preserve">0.82</w:t>
            </w:r>
          </w:p>
        </w:tc>
        <w:tc>
          <w:p>
            <w:pPr>
              <w:pStyle w:val="Compact"/>
              <w:jc w:val="right"/>
            </w:pPr>
            <w:r>
              <w:t xml:space="preserve">0.76</w:t>
            </w:r>
          </w:p>
        </w:tc>
        <w:tc>
          <w:p>
            <w:pPr>
              <w:pStyle w:val="Compact"/>
              <w:jc w:val="right"/>
            </w:pPr>
            <w:r>
              <w:t xml:space="preserve">0.92</w:t>
            </w:r>
          </w:p>
        </w:tc>
      </w:tr>
      <w:tr>
        <w:tc>
          <w:p>
            <w:pPr>
              <w:pStyle w:val="Compact"/>
              <w:jc w:val="left"/>
            </w:pPr>
            <w:r>
              <w:t xml:space="preserve">Mg</w:t>
            </w:r>
          </w:p>
        </w:tc>
        <w:tc>
          <w:p>
            <w:pPr>
              <w:pStyle w:val="Compact"/>
              <w:jc w:val="right"/>
            </w:pPr>
            <w:r>
              <w:t xml:space="preserve">0.86</w:t>
            </w:r>
          </w:p>
        </w:tc>
        <w:tc>
          <w:p>
            <w:pPr>
              <w:pStyle w:val="Compact"/>
              <w:jc w:val="right"/>
            </w:pPr>
            <w:r>
              <w:t xml:space="preserve">0.76</w:t>
            </w:r>
          </w:p>
        </w:tc>
        <w:tc>
          <w:p>
            <w:pPr>
              <w:pStyle w:val="Compact"/>
              <w:jc w:val="right"/>
            </w:pPr>
            <w:r>
              <w:t xml:space="preserve">0.82</w:t>
            </w:r>
          </w:p>
        </w:tc>
        <w:tc>
          <w:p>
            <w:pPr>
              <w:pStyle w:val="Compact"/>
              <w:jc w:val="right"/>
            </w:pPr>
            <w:r>
              <w:t xml:space="preserve">1.00</w:t>
            </w:r>
          </w:p>
        </w:tc>
        <w:tc>
          <w:p>
            <w:pPr>
              <w:pStyle w:val="Compact"/>
              <w:jc w:val="right"/>
            </w:pPr>
            <w:r>
              <w:t xml:space="preserve">0.81</w:t>
            </w:r>
          </w:p>
        </w:tc>
        <w:tc>
          <w:p>
            <w:pPr>
              <w:pStyle w:val="Compact"/>
              <w:jc w:val="right"/>
            </w:pPr>
            <w:r>
              <w:t xml:space="preserve">0.34</w:t>
            </w:r>
          </w:p>
        </w:tc>
        <w:tc>
          <w:p>
            <w:pPr>
              <w:pStyle w:val="Compact"/>
              <w:jc w:val="right"/>
            </w:pPr>
            <w:r>
              <w:t xml:space="preserve">0.71</w:t>
            </w:r>
          </w:p>
        </w:tc>
        <w:tc>
          <w:p>
            <w:pPr>
              <w:pStyle w:val="Compact"/>
              <w:jc w:val="right"/>
            </w:pPr>
            <w:r>
              <w:t xml:space="preserve">0.66</w:t>
            </w:r>
          </w:p>
        </w:tc>
        <w:tc>
          <w:p>
            <w:pPr>
              <w:pStyle w:val="Compact"/>
              <w:jc w:val="right"/>
            </w:pPr>
            <w:r>
              <w:t xml:space="preserve">0.93</w:t>
            </w:r>
          </w:p>
        </w:tc>
      </w:tr>
      <w:tr>
        <w:tc>
          <w:p>
            <w:pPr>
              <w:pStyle w:val="Compact"/>
              <w:jc w:val="left"/>
            </w:pPr>
            <w:r>
              <w:t xml:space="preserve">Mn</w:t>
            </w:r>
          </w:p>
        </w:tc>
        <w:tc>
          <w:p>
            <w:pPr>
              <w:pStyle w:val="Compact"/>
              <w:jc w:val="right"/>
            </w:pPr>
            <w:r>
              <w:t xml:space="preserve">0.95</w:t>
            </w:r>
          </w:p>
        </w:tc>
        <w:tc>
          <w:p>
            <w:pPr>
              <w:pStyle w:val="Compact"/>
              <w:jc w:val="right"/>
            </w:pPr>
            <w:r>
              <w:t xml:space="preserve">0.94</w:t>
            </w:r>
          </w:p>
        </w:tc>
        <w:tc>
          <w:p>
            <w:pPr>
              <w:pStyle w:val="Compact"/>
              <w:jc w:val="right"/>
            </w:pPr>
            <w:r>
              <w:t xml:space="preserve">0.95</w:t>
            </w:r>
          </w:p>
        </w:tc>
        <w:tc>
          <w:p>
            <w:pPr>
              <w:pStyle w:val="Compact"/>
              <w:jc w:val="right"/>
            </w:pPr>
            <w:r>
              <w:t xml:space="preserve">0.81</w:t>
            </w:r>
          </w:p>
        </w:tc>
        <w:tc>
          <w:p>
            <w:pPr>
              <w:pStyle w:val="Compact"/>
              <w:jc w:val="right"/>
            </w:pPr>
            <w:r>
              <w:t xml:space="preserve">1.00</w:t>
            </w:r>
          </w:p>
        </w:tc>
        <w:tc>
          <w:p>
            <w:pPr>
              <w:pStyle w:val="Compact"/>
              <w:jc w:val="right"/>
            </w:pPr>
            <w:r>
              <w:t xml:space="preserve">0.24</w:t>
            </w:r>
          </w:p>
        </w:tc>
        <w:tc>
          <w:p>
            <w:pPr>
              <w:pStyle w:val="Compact"/>
              <w:jc w:val="right"/>
            </w:pPr>
            <w:r>
              <w:t xml:space="preserve">0.86</w:t>
            </w:r>
          </w:p>
        </w:tc>
        <w:tc>
          <w:p>
            <w:pPr>
              <w:pStyle w:val="Compact"/>
              <w:jc w:val="right"/>
            </w:pPr>
            <w:r>
              <w:t xml:space="preserve">0.71</w:t>
            </w:r>
          </w:p>
        </w:tc>
        <w:tc>
          <w:p>
            <w:pPr>
              <w:pStyle w:val="Compact"/>
              <w:jc w:val="right"/>
            </w:pPr>
            <w:r>
              <w:t xml:space="preserve">0.96</w:t>
            </w:r>
          </w:p>
        </w:tc>
      </w:tr>
      <w:tr>
        <w:tc>
          <w:p>
            <w:pPr>
              <w:pStyle w:val="Compact"/>
              <w:jc w:val="left"/>
            </w:pPr>
            <w:r>
              <w:t xml:space="preserve">Na</w:t>
            </w:r>
          </w:p>
        </w:tc>
        <w:tc>
          <w:p>
            <w:pPr>
              <w:pStyle w:val="Compact"/>
              <w:jc w:val="right"/>
            </w:pPr>
            <w:r>
              <w:t xml:space="preserve">0.20</w:t>
            </w:r>
          </w:p>
        </w:tc>
        <w:tc>
          <w:p>
            <w:pPr>
              <w:pStyle w:val="Compact"/>
              <w:jc w:val="right"/>
            </w:pPr>
            <w:r>
              <w:t xml:space="preserve">-0.09</w:t>
            </w:r>
          </w:p>
        </w:tc>
        <w:tc>
          <w:p>
            <w:pPr>
              <w:pStyle w:val="Compact"/>
              <w:jc w:val="right"/>
            </w:pPr>
            <w:r>
              <w:t xml:space="preserve">0.35</w:t>
            </w:r>
          </w:p>
        </w:tc>
        <w:tc>
          <w:p>
            <w:pPr>
              <w:pStyle w:val="Compact"/>
              <w:jc w:val="right"/>
            </w:pPr>
            <w:r>
              <w:t xml:space="preserve">0.34</w:t>
            </w:r>
          </w:p>
        </w:tc>
        <w:tc>
          <w:p>
            <w:pPr>
              <w:pStyle w:val="Compact"/>
              <w:jc w:val="right"/>
            </w:pPr>
            <w:r>
              <w:t xml:space="preserve">0.24</w:t>
            </w:r>
          </w:p>
        </w:tc>
        <w:tc>
          <w:p>
            <w:pPr>
              <w:pStyle w:val="Compact"/>
              <w:jc w:val="right"/>
            </w:pPr>
            <w:r>
              <w:t xml:space="preserve">1.00</w:t>
            </w:r>
          </w:p>
        </w:tc>
        <w:tc>
          <w:p>
            <w:pPr>
              <w:pStyle w:val="Compact"/>
              <w:jc w:val="right"/>
            </w:pPr>
            <w:r>
              <w:t xml:space="preserve">-0.19</w:t>
            </w:r>
          </w:p>
        </w:tc>
        <w:tc>
          <w:p>
            <w:pPr>
              <w:pStyle w:val="Compact"/>
              <w:jc w:val="right"/>
            </w:pPr>
            <w:r>
              <w:t xml:space="preserve">-0.16</w:t>
            </w:r>
          </w:p>
        </w:tc>
        <w:tc>
          <w:p>
            <w:pPr>
              <w:pStyle w:val="Compact"/>
              <w:jc w:val="right"/>
            </w:pPr>
            <w:r>
              <w:t xml:space="preserve">0.25</w:t>
            </w:r>
          </w:p>
        </w:tc>
      </w:tr>
      <w:tr>
        <w:tc>
          <w:p>
            <w:pPr>
              <w:pStyle w:val="Compact"/>
              <w:jc w:val="left"/>
            </w:pPr>
            <w:r>
              <w:t xml:space="preserve">Sr</w:t>
            </w:r>
          </w:p>
        </w:tc>
        <w:tc>
          <w:p>
            <w:pPr>
              <w:pStyle w:val="Compact"/>
              <w:jc w:val="right"/>
            </w:pPr>
            <w:r>
              <w:t xml:space="preserve">0.89</w:t>
            </w:r>
          </w:p>
        </w:tc>
        <w:tc>
          <w:p>
            <w:pPr>
              <w:pStyle w:val="Compact"/>
              <w:jc w:val="right"/>
            </w:pPr>
            <w:r>
              <w:t xml:space="preserve">0.97</w:t>
            </w:r>
          </w:p>
        </w:tc>
        <w:tc>
          <w:p>
            <w:pPr>
              <w:pStyle w:val="Compact"/>
              <w:jc w:val="right"/>
            </w:pPr>
            <w:r>
              <w:t xml:space="preserve">0.82</w:t>
            </w:r>
          </w:p>
        </w:tc>
        <w:tc>
          <w:p>
            <w:pPr>
              <w:pStyle w:val="Compact"/>
              <w:jc w:val="right"/>
            </w:pPr>
            <w:r>
              <w:t xml:space="preserve">0.71</w:t>
            </w:r>
          </w:p>
        </w:tc>
        <w:tc>
          <w:p>
            <w:pPr>
              <w:pStyle w:val="Compact"/>
              <w:jc w:val="right"/>
            </w:pPr>
            <w:r>
              <w:t xml:space="preserve">0.86</w:t>
            </w:r>
          </w:p>
        </w:tc>
        <w:tc>
          <w:p>
            <w:pPr>
              <w:pStyle w:val="Compact"/>
              <w:jc w:val="right"/>
            </w:pPr>
            <w:r>
              <w:t xml:space="preserve">-0.19</w:t>
            </w:r>
          </w:p>
        </w:tc>
        <w:tc>
          <w:p>
            <w:pPr>
              <w:pStyle w:val="Compact"/>
              <w:jc w:val="right"/>
            </w:pPr>
            <w:r>
              <w:t xml:space="preserve">1.00</w:t>
            </w:r>
          </w:p>
        </w:tc>
        <w:tc>
          <w:p>
            <w:pPr>
              <w:pStyle w:val="Compact"/>
              <w:jc w:val="right"/>
            </w:pPr>
            <w:r>
              <w:t xml:space="preserve">0.88</w:t>
            </w:r>
          </w:p>
        </w:tc>
        <w:tc>
          <w:p>
            <w:pPr>
              <w:pStyle w:val="Compact"/>
              <w:jc w:val="right"/>
            </w:pPr>
            <w:r>
              <w:t xml:space="preserve">0.85</w:t>
            </w:r>
          </w:p>
        </w:tc>
      </w:tr>
      <w:tr>
        <w:tc>
          <w:p>
            <w:pPr>
              <w:pStyle w:val="Compact"/>
              <w:jc w:val="left"/>
            </w:pPr>
            <w:r>
              <w:t xml:space="preserve">Ti</w:t>
            </w:r>
          </w:p>
        </w:tc>
        <w:tc>
          <w:p>
            <w:pPr>
              <w:pStyle w:val="Compact"/>
              <w:jc w:val="right"/>
            </w:pPr>
            <w:r>
              <w:t xml:space="preserve">0.71</w:t>
            </w:r>
          </w:p>
        </w:tc>
        <w:tc>
          <w:p>
            <w:pPr>
              <w:pStyle w:val="Compact"/>
              <w:jc w:val="right"/>
            </w:pPr>
            <w:r>
              <w:t xml:space="preserve">0.82</w:t>
            </w:r>
          </w:p>
        </w:tc>
        <w:tc>
          <w:p>
            <w:pPr>
              <w:pStyle w:val="Compact"/>
              <w:jc w:val="right"/>
            </w:pPr>
            <w:r>
              <w:t xml:space="preserve">0.76</w:t>
            </w:r>
          </w:p>
        </w:tc>
        <w:tc>
          <w:p>
            <w:pPr>
              <w:pStyle w:val="Compact"/>
              <w:jc w:val="right"/>
            </w:pPr>
            <w:r>
              <w:t xml:space="preserve">0.66</w:t>
            </w:r>
          </w:p>
        </w:tc>
        <w:tc>
          <w:p>
            <w:pPr>
              <w:pStyle w:val="Compact"/>
              <w:jc w:val="right"/>
            </w:pPr>
            <w:r>
              <w:t xml:space="preserve">0.71</w:t>
            </w:r>
          </w:p>
        </w:tc>
        <w:tc>
          <w:p>
            <w:pPr>
              <w:pStyle w:val="Compact"/>
              <w:jc w:val="right"/>
            </w:pPr>
            <w:r>
              <w:t xml:space="preserve">-0.16</w:t>
            </w:r>
          </w:p>
        </w:tc>
        <w:tc>
          <w:p>
            <w:pPr>
              <w:pStyle w:val="Compact"/>
              <w:jc w:val="right"/>
            </w:pPr>
            <w:r>
              <w:t xml:space="preserve">0.88</w:t>
            </w:r>
          </w:p>
        </w:tc>
        <w:tc>
          <w:p>
            <w:pPr>
              <w:pStyle w:val="Compact"/>
              <w:jc w:val="right"/>
            </w:pPr>
            <w:r>
              <w:t xml:space="preserve">1.00</w:t>
            </w:r>
          </w:p>
        </w:tc>
        <w:tc>
          <w:p>
            <w:pPr>
              <w:pStyle w:val="Compact"/>
              <w:jc w:val="right"/>
            </w:pPr>
            <w:r>
              <w:t xml:space="preserve">0.70</w:t>
            </w:r>
          </w:p>
        </w:tc>
      </w:tr>
      <w:tr>
        <w:tc>
          <w:p>
            <w:pPr>
              <w:pStyle w:val="Compact"/>
              <w:jc w:val="left"/>
            </w:pPr>
            <w:r>
              <w:t xml:space="preserve">Zn</w:t>
            </w:r>
          </w:p>
        </w:tc>
        <w:tc>
          <w:p>
            <w:pPr>
              <w:pStyle w:val="Compact"/>
              <w:jc w:val="right"/>
            </w:pPr>
            <w:r>
              <w:t xml:space="preserve">0.95</w:t>
            </w:r>
          </w:p>
        </w:tc>
        <w:tc>
          <w:p>
            <w:pPr>
              <w:pStyle w:val="Compact"/>
              <w:jc w:val="right"/>
            </w:pPr>
            <w:r>
              <w:t xml:space="preserve">0.91</w:t>
            </w:r>
          </w:p>
        </w:tc>
        <w:tc>
          <w:p>
            <w:pPr>
              <w:pStyle w:val="Compact"/>
              <w:jc w:val="right"/>
            </w:pPr>
            <w:r>
              <w:t xml:space="preserve">0.92</w:t>
            </w:r>
          </w:p>
        </w:tc>
        <w:tc>
          <w:p>
            <w:pPr>
              <w:pStyle w:val="Compact"/>
              <w:jc w:val="right"/>
            </w:pPr>
            <w:r>
              <w:t xml:space="preserve">0.93</w:t>
            </w:r>
          </w:p>
        </w:tc>
        <w:tc>
          <w:p>
            <w:pPr>
              <w:pStyle w:val="Compact"/>
              <w:jc w:val="right"/>
            </w:pPr>
            <w:r>
              <w:t xml:space="preserve">0.96</w:t>
            </w:r>
          </w:p>
        </w:tc>
        <w:tc>
          <w:p>
            <w:pPr>
              <w:pStyle w:val="Compact"/>
              <w:jc w:val="right"/>
            </w:pPr>
            <w:r>
              <w:t xml:space="preserve">0.25</w:t>
            </w:r>
          </w:p>
        </w:tc>
        <w:tc>
          <w:p>
            <w:pPr>
              <w:pStyle w:val="Compact"/>
              <w:jc w:val="right"/>
            </w:pPr>
            <w:r>
              <w:t xml:space="preserve">0.85</w:t>
            </w:r>
          </w:p>
        </w:tc>
        <w:tc>
          <w:p>
            <w:pPr>
              <w:pStyle w:val="Compact"/>
              <w:jc w:val="right"/>
            </w:pPr>
            <w:r>
              <w:t xml:space="preserve">0.70</w:t>
            </w:r>
          </w:p>
        </w:tc>
        <w:tc>
          <w:p>
            <w:pPr>
              <w:pStyle w:val="Compact"/>
              <w:jc w:val="right"/>
            </w:pPr>
            <w:r>
              <w:t xml:space="preserve">1.00</w:t>
            </w:r>
          </w:p>
        </w:tc>
      </w:tr>
    </w:tbl>
    <w:p>
      <w:pPr>
        <w:pStyle w:val="BodyText"/>
      </w:pPr>
      <w:r>
        <w:t xml:space="preserve">Table 4: Correlation matrix of elements analysed by ICP-AES</w:t>
      </w:r>
    </w:p>
    <w:p>
      <w:pPr>
        <w:pStyle w:val="BodyText"/>
      </w:pPr>
      <w:r>
        <w:drawing>
          <wp:inline>
            <wp:extent cx="4610100" cy="3695700"/>
            <wp:effectExtent b="0" l="0" r="0" t="0"/>
            <wp:docPr descr="" id="1" name="Picture"/>
            <a:graphic>
              <a:graphicData uri="http://schemas.openxmlformats.org/drawingml/2006/picture">
                <pic:pic>
                  <pic:nvPicPr>
                    <pic:cNvPr descr="../figures/denro_elements-1.png" id="0" name="Picture"/>
                    <pic:cNvPicPr>
                      <a:picLocks noChangeArrowheads="1" noChangeAspect="1"/>
                    </pic:cNvPicPr>
                  </pic:nvPicPr>
                  <pic:blipFill>
                    <a:blip r:embed="rId39"/>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6: Dendrogram of samples based on ICP-AES results</w:t>
      </w:r>
    </w:p>
    <w:p>
      <w:pPr>
        <w:pStyle w:val="BodyText"/>
      </w:pPr>
      <w:r>
        <w:t xml:space="preserve">Results from ICP-AES analyses are presented in Table 3,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 4), and there are no significant negative correlations. These relationships suggest a single source for the sediments throughout the entire period of deposition. Cluster analysis of the contexts using the elemental data suggests low-level groupings resulting from minor variation (Figure 6). The cluster containing B1, A4, A7U and A7L is notable because they are relatively enriched with Ca and Mg, but this is not correlated with carbonates measured by loss on ignition. Overall, the element distributions suggest low variation over time, and homogeneity in the composition of the deposit with a single source of sediment.</w:t>
      </w:r>
    </w:p>
    <w:p>
      <w:pPr>
        <w:pStyle w:val="Heading3"/>
      </w:pPr>
      <w:bookmarkStart w:id="40" w:name="archaeology"/>
      <w:bookmarkEnd w:id="40"/>
      <w:r>
        <w:t xml:space="preserve">Archaeology</w:t>
      </w:r>
    </w:p>
    <w:p>
      <w:pPr>
        <w:pStyle w:val="FirstParagraph"/>
      </w:pPr>
      <w:r>
        <w:drawing>
          <wp:inline>
            <wp:extent cx="5943600" cy="5222289"/>
            <wp:effectExtent b="0" l="0" r="0" t="0"/>
            <wp:docPr descr=""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1"/>
                    <a:stretch>
                      <a:fillRect/>
                    </a:stretch>
                  </pic:blipFill>
                  <pic:spPr bwMode="auto">
                    <a:xfrm>
                      <a:off x="0" y="0"/>
                      <a:ext cx="5943600" cy="5222289"/>
                    </a:xfrm>
                    <a:prstGeom prst="rect">
                      <a:avLst/>
                    </a:prstGeom>
                    <a:noFill/>
                    <a:ln w="9525">
                      <a:noFill/>
                      <a:headEnd/>
                      <a:tailEnd/>
                    </a:ln>
                  </pic:spPr>
                </pic:pic>
              </a:graphicData>
            </a:graphic>
          </wp:inline>
        </w:drawing>
      </w:r>
    </w:p>
    <w:p>
      <w:pPr>
        <w:pStyle w:val="BodyText"/>
      </w:pPr>
      <w:r>
        <w:t xml:space="preserve">Figure 7: Examples of ceramics, ground and flaked stone artefacts from Khao Toh Chong. a) chert flake, b) quartzite flake, c) quartzite polished adze, d) chert flake, e) quartzite polished adze, f &amp; g) ceramic sherd with incised and infilled decoration, h) cord-marked ceramic</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7H</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BodyText"/>
      </w:pPr>
      <w:r>
        <w:t xml:space="preserve">Table 5: Summary of ceramics and stone artefacts recovered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artefacts_plot-1.png" id="0" name="Picture"/>
                    <pic:cNvPicPr>
                      <a:picLocks noChangeArrowheads="1" noChangeAspect="1"/>
                    </pic:cNvPicPr>
                  </pic:nvPicPr>
                  <pic:blipFill>
                    <a:blip r:embed="rId42"/>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8: Distribution of ceramics and stone artefacts over time at Khao Toh Chong. Ages older than 13,000 cal BP have been extrapolated using the regression function described above.</w:t>
      </w:r>
    </w:p>
    <w:p>
      <w:pPr>
        <w:pStyle w:val="BodyText"/>
      </w:pPr>
      <w:r>
        <w:t xml:space="preserve">The archaeological materials consist mostly of small broken pieces of ceramic and flaked stone artefacts (Table 5, Figure 7, Figure 8).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There are no significant correlations between the artefact counts and masses and any of the geoarchaeological variables. Overall, the assemblage is small and unremarkable. Artefacts were found in every excavation unit, but we suspect that ceramics in the lower part of the deposit may be post-depositional intrusions resulting from the activity of treeroots and termites. Similarly problematic associations of ceramics and radiocarbon-dated samples have been reported from Spirit Cave (Gorman ,1972). Radiocarbon dating of residues on ceramics at Spirit Cave obtained much younger dates (c. 3000 BP) than the stratigraphically associated charcoal samples (c. 7600 BP) (Lampert et al., 2003). We expect that future work on thermoluminescence dating of KTC ceramics may show a similar situation to that of Spirit Cave.</w:t>
      </w:r>
    </w:p>
    <w:p>
      <w:pPr>
        <w:pStyle w:val="BodyText"/>
      </w:pPr>
      <w:r>
        <w:t xml:space="preserve">Despite this possibility of disturbance, we can make some brief observations from the archaeological sequence at KTC.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Heading3"/>
      </w:pPr>
      <w:bookmarkStart w:id="43" w:name="faunal-assemblage"/>
      <w:bookmarkEnd w:id="43"/>
      <w:r>
        <w:t xml:space="preserve">Faunal assemblage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BodyText"/>
      </w:pPr>
      <w:r>
        <w:t xml:space="preserve">Table 6: NISP of mammal, reptile and fish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BodyText"/>
      </w:pPr>
      <w:r>
        <w:t xml:space="preserve">Table 7: NISP of mollusk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BodyText"/>
      </w:pPr>
      <w:r>
        <w:t xml:space="preserve">Table 8: Ecological indices of diversity and evenness for the faunal assemblage recovered from Khao Toh Chong. Pielou's index is also known as the Shannon index of evenness</w:t>
      </w:r>
    </w:p>
    <w:p>
      <w:pPr>
        <w:pStyle w:val="BodyText"/>
      </w:pPr>
      <w:r>
        <w:t xml:space="preserve">Mammalian abundance and distribution at the rockshelter throughout the late-Pleistocene and Holocene describes a diverse array of taxa in the deposits (Table 6).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 7). Mollusk species richness varies between 0-11 species throughout the unit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fragmentation is constant over time (Jones, 2013; Lyman, 2008). Ecological indices of taxonomic diversity and evenness vary over time, suggesting complex variations in forager behaviour over time (Table 8).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4" w:name="discussion"/>
      <w:bookmarkEnd w:id="44"/>
      <w:r>
        <w:t xml:space="preserve">Discussion</w:t>
      </w:r>
    </w:p>
    <w:p>
      <w:pPr>
        <w:pStyle w:val="Heading3"/>
      </w:pPr>
      <w:bookmarkStart w:id="45" w:name="geoarchaeology-1"/>
      <w:bookmarkEnd w:id="45"/>
      <w:r>
        <w:t xml:space="preserve">Geoarchaeology</w:t>
      </w:r>
    </w:p>
    <w:p>
      <w:pPr>
        <w:pStyle w:val="FirstParagraph"/>
      </w:pPr>
      <w:r>
        <w:t xml:space="preserve">The general picture indicated by the geoarchaeoloical data is one of subtle, uncoordinated changes in the variables we measured. This could be interpreted as indicative of either relatively constant conditions of deposition, or resulting from a high degree of bioturbation that has averaged out any major changes in the deposit. The sediment texture suggests a mixture of aeolian, colluvial and fluvial inputs, typical of cave and rockshelter deposits in the tropics (Westaway et al., 2009). The composition of the sediments varies little over time, as indicated by the measurements of organic matter, carbonates and pH in the bulk samples, and the ICP-AES data.</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Substantial changes in surface geochemistry are unlikely, due to the uncoordinated changes in magnetic susceptibility, which, if coordinated, might suggest episodes of soil formation on the landscape surrounding the site. The 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low finds of ceramics. Thus, we can credibly interpret the geoarchaeological data as indicating generally constant conditions over time, rather than resulting from massive large scale bioturbation.</w:t>
      </w:r>
    </w:p>
    <w:p>
      <w:pPr>
        <w:pStyle w:val="Heading3"/>
      </w:pPr>
      <w:bookmarkStart w:id="46" w:name="faunal-assemblage-1"/>
      <w:bookmarkEnd w:id="46"/>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9,000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observed by Sinsakul (1992) and Tjia (1996).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3000 cal BP, coincident with the regressive phase at 3700 to 2700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47" w:name="conclusion"/>
      <w:bookmarkEnd w:id="47"/>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most striking find is the correlation between the abundance of shellfish and past sea levels. Low sea levels at the early Holocene correspond to a peak in shellfish discard, followed by a decline in shellfish and lithic discard at c. 6000 cal BP, at the same time as the peak Holocene sea levels. There is another small peak in shellfish at c. 3000 BP during a regressive phase, this time accompanied by relatively large amounts of ceramics and lithics.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see a unique pattern of shellfish exploitation at KTC that is related to the local sea level changes. This relationship highlights the importance of local contingencies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potentially also sites such as Ban Non Wat. Future work on direct dating of the KTC ceramics will help to resolve questions the timing of their appearance here, and their relationship to shifts in subsistence behaviours.</w:t>
      </w:r>
    </w:p>
    <w:p>
      <w:pPr>
        <w:pStyle w:val="Heading2"/>
      </w:pPr>
      <w:bookmarkStart w:id="48" w:name="acknowledgments"/>
      <w:bookmarkEnd w:id="48"/>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49" w:name="references"/>
      <w:bookmarkEnd w:id="49"/>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Horten,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Knudson, K.J. , L. Frink, B.W. Hoffman, T.D. Price (2004). 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0">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 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1">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6ef47f6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hyperlink" Id="rId50" Target="doi:10.1007/s10816-015-9272-9" TargetMode="External" /><Relationship Type="http://schemas.openxmlformats.org/officeDocument/2006/relationships/hyperlink" Id="rId51" Target="doi:10.1016/j.quaint.2015.07.049" TargetMode="External" /><Relationship Type="http://schemas.openxmlformats.org/officeDocument/2006/relationships/hyperlink" Id="rId28" Target="https://dx.doi.org/10.6084/m9.figshare.2065602.v1" TargetMode="External" /></Relationships>
</file>

<file path=word/_rels/footnotes.xml.rels><?xml version="1.0" encoding="UTF-8"?>
<Relationships xmlns="http://schemas.openxmlformats.org/package/2006/relationships"><Relationship Type="http://schemas.openxmlformats.org/officeDocument/2006/relationships/hyperlink" Id="rId50" Target="doi:10.1007/s10816-015-9272-9" TargetMode="External" /><Relationship Type="http://schemas.openxmlformats.org/officeDocument/2006/relationships/hyperlink" Id="rId51" Target="doi:10.1016/j.quaint.2015.07.049" TargetMode="External" /><Relationship Type="http://schemas.openxmlformats.org/officeDocument/2006/relationships/hyperlink" Id="rId28" Target="https://dx.doi.org/10.6084/m9.figshare.2065602.v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Hannah Van Vlack (San Jose State University); Cyler Conrad (University of New Mexico); Rasmi Shoocongdej (Silpakorn University); Cholawit Thongcharoenchaikit (National Science Museum of Thailand); Seungki Kwak (University of Washington)</dc:creator>
  <dcterms:created xsi:type="dcterms:W3CDTF">2016-01-20</dcterms:created>
  <dcterms:modified xsi:type="dcterms:W3CDTF">2016-01-20</dcterms:modified>
</cp:coreProperties>
</file>